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Liderzy rynku CRM i SFA - raport CRM Magazine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1/3 czasu pracy, zespoły sprzedażowe, spędzają wykonując działania administracyjne. Tak wynika z raportu SiriusDecisions. To ogromna strata czasu, dlatego producenci oprogramowania CRM dostarczają coraz więcej narzędzi automatyzujących zadania administracyjne (ang. Sales Force Automation, SFA).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Około 1/3 czasu pracy, zespoły sprzedażowe, spędzają wykonując działania administracyjne. Tak wynika z raportu SiriusDecisions. To ogromna strata czasu, dlatego producenci oprogramowania CRM dostarczają coraz więcej narzędzi automatyzujących zadania administracyjne (ang. Sales Force Automation, SFA).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Są to narzędzia wykorzystujące zarówno sztuczną inteligencję jak i unikalne procesy sprzedażowe upraszczające lub automatyzujące administrację. Ważne są usprawnienia w obsłudze interfejsu aplikacji na ekranach komputerów i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dostawców oprogramowania CRM i SFA liderem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bpm’online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roku liczba wyróżnień i raportów analitycznych wskazujących wysoką pozycję tego producenta oprogramowania nie pozostawia wątpliwości. Wystarczy wspomnieć o takich jak Forrester Research czy Gartner.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Stawiany wśród największych graczy rynku CRM, bpm’online buduje swoją pozycję często przewyższając swoich największych konkurentów. Najnowsza ocena amerykańskiego wydawnictwa CRM Magazine potwierdza, że bpm’online gra w najwyższej lidze. Funkcjonalność, wsparcie dla celów biznesowych, zadowolenie klientów to wysoko ocenione cechy. Bpm’online otrzymuje często najlepszą ocenę w badaniu kosztów zakupu i utrzymania oprogramowania, czyli oceniany jest jako najbardziej opłacalny wśród najlepszych.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(2019) CRM Magazine zaliczył bpm’online do liderów w trzech kategoriach: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CRM for Midsize Companies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Enterprise CRM Software and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Sales Force Automation (SFA) Software and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jak uplasował się bpm’online (niebieski wskaźniki) w tych kategoriach w porównaniu do wygranego konkurenta (szare wskaźniki).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grafice przedstawiono wszystkie trzy segmenty rynku (wiersze). Kolumny przedstawiają obszar oceny. Od zakresu funkcjonalności aż po 5-letni koszt oprogramowania i jego utrzymania. Bez wątpliwości można powiedzieć, że bpm’online wygrywa w ocenach takich jak satysfakcja klienta (trzecia kolumna) oraz ocena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zostać polskim partnerem bpm’online głównie dlatego, że zachwycił nas interfejs aplikacji, prostota obsługi i elastyczność. Potrzebowaliśmy w naszym portfolio, aplikacji która uzupełni naszą ofertę dla średnich i dużych przedsiębiorstw. Po kilku wdrożeniach jesteśmy bardzo zadowoleni z tej decyzji.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Sokołowski</w:t>
      </w:r>
      <w:r>
        <w:rPr>
          <w:rFonts w:ascii="calibri" w:hAnsi="calibri" w:eastAsia="calibri" w:cs="calibri"/>
          <w:sz w:val="24"/>
          <w:szCs w:val="24"/>
        </w:rPr>
        <w:t xml:space="preserve">, prezes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AYPE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Spółki zajmującej się wdrożeniami systemów CRM, będącej partnerem bpm’online.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podobną ocenę bpm’online ma </w:t>
      </w:r>
      <w:r>
        <w:rPr>
          <w:rFonts w:ascii="calibri" w:hAnsi="calibri" w:eastAsia="calibri" w:cs="calibri"/>
          <w:sz w:val="24"/>
          <w:szCs w:val="24"/>
          <w:b/>
        </w:rPr>
        <w:t xml:space="preserve">Kate Leggett</w:t>
      </w:r>
      <w:r>
        <w:rPr>
          <w:rFonts w:ascii="calibri" w:hAnsi="calibri" w:eastAsia="calibri" w:cs="calibri"/>
          <w:sz w:val="24"/>
          <w:szCs w:val="24"/>
        </w:rPr>
        <w:t xml:space="preserve">, wiceprezes i główny analityk Forestrer Research. Przytaczamy jej wypowiedź za CRM Magazine.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Bpm’online oferuje bogactwo ról i procesów sprzedażowych, a także społecznościową bibliotekę rozszerzeń wspierających automatyzację sprzedaży i pozwalającą osiągać korzystną relację kosztu do czasu uruchomienia funkcjonalności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Kate Legget podkreśliła również, że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dostawca (red. bpm’online) konsekwentnie otrzymuje wysokie oceny za użyteczność i zorientowanie na klienta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monline.com/?partner=aype" TargetMode="External"/><Relationship Id="rId8" Type="http://schemas.openxmlformats.org/officeDocument/2006/relationships/hyperlink" Target="https://www.destinationcrm.com/Articles/ReadArticle.aspx?ArticleID=133659" TargetMode="External"/><Relationship Id="rId9" Type="http://schemas.openxmlformats.org/officeDocument/2006/relationships/hyperlink" Target="https://www.destinationcrm.com/Articles/ReadArticle.aspx?ArticleID=133658" TargetMode="External"/><Relationship Id="rId10" Type="http://schemas.openxmlformats.org/officeDocument/2006/relationships/hyperlink" Target="https://www.destinationcrm.com/Articles/ReadArticle.aspx?ArticleID=133669" TargetMode="External"/><Relationship Id="rId11" Type="http://schemas.openxmlformats.org/officeDocument/2006/relationships/hyperlink" Target="https://ay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2026-03-22T23:07:01+01:00</dcterms:created>
  <dcterms:modified xsi:type="dcterms:W3CDTF">2026-03-22T23:07:01+01:00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